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49" w:rsidRPr="00061049" w:rsidRDefault="00061049" w:rsidP="00061049">
      <w:r w:rsidRPr="00061049">
        <w:t>Max Mustermann</w:t>
      </w:r>
      <w:r w:rsidRPr="00061049">
        <w:br/>
        <w:t>Beispielstraße 23</w:t>
      </w:r>
      <w:r w:rsidRPr="00061049">
        <w:br/>
        <w:t>12345 Neustadt</w:t>
      </w:r>
    </w:p>
    <w:p w:rsidR="00061049" w:rsidRPr="00061049" w:rsidRDefault="00061049" w:rsidP="00061049">
      <w:pPr>
        <w:jc w:val="center"/>
        <w:rPr>
          <w:sz w:val="36"/>
          <w:szCs w:val="36"/>
        </w:rPr>
      </w:pPr>
      <w:r w:rsidRPr="00061049">
        <w:rPr>
          <w:b/>
          <w:bCs/>
          <w:sz w:val="36"/>
          <w:szCs w:val="36"/>
        </w:rPr>
        <w:t>Kostenvoranschlag</w:t>
      </w:r>
    </w:p>
    <w:p w:rsidR="00061049" w:rsidRPr="00061049" w:rsidRDefault="00061049" w:rsidP="00061049">
      <w:bookmarkStart w:id="0" w:name="_GoBack"/>
      <w:bookmarkEnd w:id="0"/>
      <w:r w:rsidRPr="00061049">
        <w:br/>
        <w:t>Sehr geehrter Herr Mustermann,</w:t>
      </w:r>
    </w:p>
    <w:p w:rsidR="00061049" w:rsidRPr="00061049" w:rsidRDefault="00061049" w:rsidP="00061049">
      <w:r w:rsidRPr="00061049">
        <w:t>wir freuen uns über Ihr Interesse an unseren Leistungen und dem uns damit entgegengebrachten Vertrauen.</w:t>
      </w:r>
    </w:p>
    <w:p w:rsidR="00061049" w:rsidRPr="00061049" w:rsidRDefault="00061049" w:rsidP="00061049">
      <w:r w:rsidRPr="00061049">
        <w:t>Im nachfolgenden Kostenvoranschlag haben wir uns erlaubt, die voraussichtlichen Kosten für die telefonisch besprochenen Leistungen aufzuführen. Wir freuen uns auf Ihre Antwort und darauf, in Zukunft für Sie tätig zu werden.</w:t>
      </w:r>
    </w:p>
    <w:p w:rsidR="00061049" w:rsidRPr="00061049" w:rsidRDefault="00061049" w:rsidP="00061049">
      <w:r w:rsidRPr="00061049">
        <w:t>Die Mehrwertsteuer ist in den aufgeführten Preisen des Kostenvoranschlags bereits enthalten.</w:t>
      </w:r>
    </w:p>
    <w:tbl>
      <w:tblPr>
        <w:tblW w:w="4984" w:type="pct"/>
        <w:tblCellSpacing w:w="15" w:type="dxa"/>
        <w:tblCellMar>
          <w:left w:w="0" w:type="dxa"/>
          <w:right w:w="0" w:type="dxa"/>
        </w:tblCellMar>
        <w:tblLook w:val="04A0" w:firstRow="1" w:lastRow="0" w:firstColumn="1" w:lastColumn="0" w:noHBand="0" w:noVBand="1"/>
      </w:tblPr>
      <w:tblGrid>
        <w:gridCol w:w="3628"/>
        <w:gridCol w:w="1821"/>
        <w:gridCol w:w="1821"/>
        <w:gridCol w:w="1982"/>
      </w:tblGrid>
      <w:tr w:rsidR="00061049" w:rsidRPr="00061049" w:rsidTr="00061049">
        <w:trPr>
          <w:trHeight w:val="628"/>
          <w:tblCellSpacing w:w="15" w:type="dxa"/>
        </w:trPr>
        <w:tc>
          <w:tcPr>
            <w:tcW w:w="1968" w:type="pct"/>
            <w:tcBorders>
              <w:top w:val="nil"/>
              <w:left w:val="nil"/>
              <w:bottom w:val="nil"/>
              <w:right w:val="nil"/>
            </w:tcBorders>
            <w:shd w:val="clear" w:color="auto" w:fill="AADBE7"/>
            <w:tcMar>
              <w:top w:w="75" w:type="dxa"/>
              <w:left w:w="75" w:type="dxa"/>
              <w:bottom w:w="75" w:type="dxa"/>
              <w:right w:w="75" w:type="dxa"/>
            </w:tcMar>
            <w:vAlign w:val="center"/>
            <w:hideMark/>
          </w:tcPr>
          <w:p w:rsidR="00061049" w:rsidRPr="00061049" w:rsidRDefault="00061049" w:rsidP="00061049">
            <w:r w:rsidRPr="00061049">
              <w:rPr>
                <w:b/>
                <w:bCs/>
              </w:rPr>
              <w:t>Beschreibung</w:t>
            </w:r>
          </w:p>
        </w:tc>
        <w:tc>
          <w:tcPr>
            <w:tcW w:w="984" w:type="pct"/>
            <w:tcBorders>
              <w:top w:val="nil"/>
              <w:left w:val="nil"/>
              <w:bottom w:val="nil"/>
              <w:right w:val="nil"/>
            </w:tcBorders>
            <w:shd w:val="clear" w:color="auto" w:fill="AADBE7"/>
            <w:tcMar>
              <w:top w:w="75" w:type="dxa"/>
              <w:left w:w="75" w:type="dxa"/>
              <w:bottom w:w="75" w:type="dxa"/>
              <w:right w:w="75" w:type="dxa"/>
            </w:tcMar>
            <w:vAlign w:val="center"/>
            <w:hideMark/>
          </w:tcPr>
          <w:p w:rsidR="00061049" w:rsidRPr="00061049" w:rsidRDefault="00061049" w:rsidP="00061049">
            <w:r>
              <w:rPr>
                <w:b/>
                <w:bCs/>
              </w:rPr>
              <w:t xml:space="preserve">                    </w:t>
            </w:r>
            <w:r w:rsidRPr="00061049">
              <w:rPr>
                <w:b/>
                <w:bCs/>
              </w:rPr>
              <w:t>Menge</w:t>
            </w:r>
          </w:p>
        </w:tc>
        <w:tc>
          <w:tcPr>
            <w:tcW w:w="984" w:type="pct"/>
            <w:tcBorders>
              <w:top w:val="nil"/>
              <w:left w:val="nil"/>
              <w:bottom w:val="nil"/>
              <w:right w:val="nil"/>
            </w:tcBorders>
            <w:shd w:val="clear" w:color="auto" w:fill="AADBE7"/>
            <w:tcMar>
              <w:top w:w="75" w:type="dxa"/>
              <w:left w:w="75" w:type="dxa"/>
              <w:bottom w:w="75" w:type="dxa"/>
              <w:right w:w="75" w:type="dxa"/>
            </w:tcMar>
            <w:vAlign w:val="center"/>
            <w:hideMark/>
          </w:tcPr>
          <w:p w:rsidR="00061049" w:rsidRPr="00061049" w:rsidRDefault="00061049" w:rsidP="00061049">
            <w:pPr>
              <w:jc w:val="right"/>
            </w:pPr>
            <w:r w:rsidRPr="00061049">
              <w:rPr>
                <w:b/>
                <w:bCs/>
              </w:rPr>
              <w:t>Preis pro Einheit</w:t>
            </w:r>
          </w:p>
        </w:tc>
        <w:tc>
          <w:tcPr>
            <w:tcW w:w="0" w:type="auto"/>
            <w:tcBorders>
              <w:top w:val="nil"/>
              <w:left w:val="nil"/>
              <w:bottom w:val="nil"/>
              <w:right w:val="nil"/>
            </w:tcBorders>
            <w:shd w:val="clear" w:color="auto" w:fill="AADBE7"/>
            <w:tcMar>
              <w:top w:w="75" w:type="dxa"/>
              <w:left w:w="75" w:type="dxa"/>
              <w:bottom w:w="75" w:type="dxa"/>
              <w:right w:w="75" w:type="dxa"/>
            </w:tcMar>
            <w:vAlign w:val="center"/>
            <w:hideMark/>
          </w:tcPr>
          <w:p w:rsidR="00061049" w:rsidRPr="00061049" w:rsidRDefault="00061049" w:rsidP="00061049">
            <w:pPr>
              <w:jc w:val="right"/>
            </w:pPr>
            <w:r w:rsidRPr="00061049">
              <w:rPr>
                <w:b/>
                <w:bCs/>
              </w:rPr>
              <w:t>Nettopreis</w:t>
            </w:r>
          </w:p>
        </w:tc>
      </w:tr>
      <w:tr w:rsidR="00061049" w:rsidRPr="00061049" w:rsidTr="00061049">
        <w:trPr>
          <w:trHeight w:val="628"/>
          <w:tblCellSpacing w:w="15" w:type="dxa"/>
        </w:trPr>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r w:rsidRPr="00061049">
              <w:rPr>
                <w:b/>
                <w:bCs/>
              </w:rPr>
              <w:t>Reparatur von …</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Pr>
                <w:b/>
                <w:bCs/>
              </w:rPr>
              <w:t xml:space="preserve">           </w:t>
            </w:r>
            <w:r w:rsidRPr="00061049">
              <w:rPr>
                <w:b/>
                <w:bCs/>
              </w:rPr>
              <w:t>15 Stunden</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55,00 Euro</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825,00 Euro</w:t>
            </w:r>
          </w:p>
        </w:tc>
      </w:tr>
      <w:tr w:rsidR="00061049" w:rsidRPr="00061049" w:rsidTr="00061049">
        <w:trPr>
          <w:trHeight w:val="628"/>
          <w:tblCellSpacing w:w="15" w:type="dxa"/>
        </w:trPr>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r w:rsidRPr="00061049">
              <w:rPr>
                <w:b/>
                <w:bCs/>
              </w:rPr>
              <w:t>Materialien XY</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72 Stück</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27,50 Euro</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1.980,00 Euro</w:t>
            </w:r>
          </w:p>
        </w:tc>
      </w:tr>
      <w:tr w:rsidR="00061049" w:rsidRPr="00061049" w:rsidTr="00061049">
        <w:trPr>
          <w:trHeight w:val="628"/>
          <w:tblCellSpacing w:w="15" w:type="dxa"/>
        </w:trPr>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r w:rsidRPr="00061049">
              <w:rPr>
                <w:b/>
                <w:bCs/>
              </w:rPr>
              <w:t>Erneuerung des …</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7 Stunden</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55,00 Euro</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385,00 Euro</w:t>
            </w:r>
          </w:p>
        </w:tc>
      </w:tr>
      <w:tr w:rsidR="00061049" w:rsidRPr="00061049" w:rsidTr="00061049">
        <w:trPr>
          <w:trHeight w:val="628"/>
          <w:tblCellSpacing w:w="15" w:type="dxa"/>
        </w:trPr>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r w:rsidRPr="00061049">
              <w:rPr>
                <w:b/>
                <w:bCs/>
              </w:rPr>
              <w:t>Einbau von …</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2 Stunden</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55,00 Euro</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110,00 Euro</w:t>
            </w:r>
          </w:p>
        </w:tc>
      </w:tr>
      <w:tr w:rsidR="00061049" w:rsidRPr="00061049" w:rsidTr="00061049">
        <w:trPr>
          <w:trHeight w:val="628"/>
          <w:tblCellSpacing w:w="15" w:type="dxa"/>
        </w:trPr>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r w:rsidRPr="00061049">
              <w:rPr>
                <w:b/>
                <w:bCs/>
              </w:rPr>
              <w:t>Voraussichtlicher Gesamtpreis</w:t>
            </w:r>
          </w:p>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tc>
        <w:tc>
          <w:tcPr>
            <w:tcW w:w="0" w:type="auto"/>
            <w:tcBorders>
              <w:top w:val="nil"/>
              <w:left w:val="nil"/>
              <w:bottom w:val="nil"/>
              <w:right w:val="nil"/>
            </w:tcBorders>
            <w:shd w:val="clear" w:color="auto" w:fill="C7EBF4"/>
            <w:tcMar>
              <w:top w:w="75" w:type="dxa"/>
              <w:left w:w="75" w:type="dxa"/>
              <w:bottom w:w="75" w:type="dxa"/>
              <w:right w:w="75" w:type="dxa"/>
            </w:tcMar>
            <w:vAlign w:val="center"/>
            <w:hideMark/>
          </w:tcPr>
          <w:p w:rsidR="00061049" w:rsidRPr="00061049" w:rsidRDefault="00061049" w:rsidP="00061049">
            <w:pPr>
              <w:jc w:val="right"/>
            </w:pPr>
            <w:r w:rsidRPr="00061049">
              <w:rPr>
                <w:b/>
                <w:bCs/>
              </w:rPr>
              <w:t>3.300,00 Euro</w:t>
            </w:r>
          </w:p>
        </w:tc>
      </w:tr>
    </w:tbl>
    <w:p w:rsidR="00061049" w:rsidRPr="00061049" w:rsidRDefault="00061049" w:rsidP="00061049"/>
    <w:p w:rsidR="00061049" w:rsidRPr="00061049" w:rsidRDefault="00061049" w:rsidP="00061049">
      <w:r w:rsidRPr="00061049">
        <w:t>Dieser Kostenvoranschlag ist unverbindlich. Bei einem möglichen Mehraufwand kann von den oben genannten Preisen abgewichen werden. Sollte dies der Fall sein, werden wir Sie frühestmöglich darüber informieren. Der obige Kostenvoranschlag ist gültig bis zum TT.MM.JJJJ.</w:t>
      </w:r>
    </w:p>
    <w:p w:rsidR="00061049" w:rsidRPr="00061049" w:rsidRDefault="00061049" w:rsidP="00061049">
      <w:r w:rsidRPr="00061049">
        <w:t>Wir hoffen, dass wir den Auftrag auf Basis dieses Kostenvoranschlags zu Ihrer vollsten Zufriedenheit ausführen können. Bis dahin verbleiben wir</w:t>
      </w:r>
    </w:p>
    <w:p w:rsidR="00061049" w:rsidRPr="00061049" w:rsidRDefault="00061049" w:rsidP="00061049">
      <w:r w:rsidRPr="00061049">
        <w:t>mit freundlichen Grüßen</w:t>
      </w:r>
    </w:p>
    <w:p w:rsidR="001A6A8A" w:rsidRDefault="00061049">
      <w:r w:rsidRPr="00061049">
        <w:rPr>
          <w:b/>
          <w:bCs/>
          <w:i/>
          <w:iCs/>
        </w:rPr>
        <w:t>UNTERSCHRIFT</w:t>
      </w:r>
    </w:p>
    <w:sectPr w:rsidR="001A6A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AE"/>
    <w:rsid w:val="00061049"/>
    <w:rsid w:val="000C1EDE"/>
    <w:rsid w:val="001A6A8A"/>
    <w:rsid w:val="00425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1793">
      <w:bodyDiv w:val="1"/>
      <w:marLeft w:val="0"/>
      <w:marRight w:val="0"/>
      <w:marTop w:val="0"/>
      <w:marBottom w:val="0"/>
      <w:divBdr>
        <w:top w:val="none" w:sz="0" w:space="0" w:color="auto"/>
        <w:left w:val="none" w:sz="0" w:space="0" w:color="auto"/>
        <w:bottom w:val="none" w:sz="0" w:space="0" w:color="auto"/>
        <w:right w:val="none" w:sz="0" w:space="0" w:color="auto"/>
      </w:divBdr>
    </w:div>
    <w:div w:id="9207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2</cp:revision>
  <dcterms:created xsi:type="dcterms:W3CDTF">2020-06-08T07:53:00Z</dcterms:created>
  <dcterms:modified xsi:type="dcterms:W3CDTF">2020-06-08T07:53:00Z</dcterms:modified>
</cp:coreProperties>
</file>